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华文中宋" w:hAnsi="华文中宋" w:eastAsia="华文中宋" w:cs="华文中宋"/>
          <w:b/>
          <w:bCs/>
          <w:lang w:val="en-US" w:eastAsia="zh-CN"/>
        </w:rPr>
      </w:pPr>
      <w:r>
        <w:rPr>
          <w:rFonts w:hint="eastAsia" w:ascii="华文中宋" w:hAnsi="华文中宋" w:eastAsia="华文中宋" w:cs="华文中宋"/>
          <w:b/>
          <w:bCs/>
          <w:lang w:val="en-US" w:eastAsia="zh-CN"/>
        </w:rPr>
        <w:t>关于开展第一期碳交易师专业技能岗位人员培训及等级考试的通知</w:t>
      </w:r>
    </w:p>
    <w:p>
      <w:pPr>
        <w:rPr>
          <w:rFonts w:hint="default"/>
          <w:lang w:val="en-US" w:eastAsia="zh-CN"/>
        </w:rPr>
      </w:pPr>
    </w:p>
    <w:p>
      <w:pPr>
        <w:pStyle w:val="2"/>
        <w:bidi w:val="0"/>
        <w:rPr>
          <w:rFonts w:hint="eastAsia"/>
        </w:rPr>
      </w:pPr>
      <w:r>
        <w:rPr>
          <w:rFonts w:hint="eastAsia"/>
        </w:rPr>
        <w:t>2021年02月02日《国务院关于加快建立健全绿色低碳循环发展经济体系的指导意见》深入贯彻党的十九大和十九届二中、三中、四中、五中全会精神，全面贯彻生态文明思想，认真落实党中央、国务院决策部署，坚定不移贯彻新发展理念，全方位全过程推行绿色规划、绿色设计、绿色投资、绿色建设、绿色生产、绿色流通、绿色生活、绿色消费，使发展建立在高效利用资源、严格保护生态环境、有效控制温室气体排放的基础上，统筹推进高质量发展和高水平保护，建立健全绿色低碳循环发展的经济体系，确保实现碳达峰、碳中和目标，推动我国绿色发展迈上新台阶。</w:t>
      </w:r>
    </w:p>
    <w:p>
      <w:pPr>
        <w:pStyle w:val="3"/>
        <w:bidi w:val="0"/>
        <w:rPr>
          <w:rFonts w:hint="eastAsia"/>
        </w:rPr>
      </w:pPr>
      <w:r>
        <w:rPr>
          <w:rFonts w:hint="eastAsia"/>
        </w:rPr>
        <w:t>2021年5月17日，关于发布《碳排放权登记管理规则</w:t>
      </w:r>
      <w:r>
        <w:rPr>
          <w:rFonts w:hint="eastAsia"/>
          <w:lang w:eastAsia="zh-CN"/>
        </w:rPr>
        <w:t>(</w:t>
      </w:r>
      <w:r>
        <w:rPr>
          <w:rFonts w:hint="eastAsia"/>
        </w:rPr>
        <w:t>试行</w:t>
      </w:r>
      <w:r>
        <w:rPr>
          <w:rFonts w:hint="eastAsia"/>
          <w:lang w:eastAsia="zh-CN"/>
        </w:rPr>
        <w:t>)</w:t>
      </w:r>
      <w:r>
        <w:rPr>
          <w:rFonts w:hint="eastAsia"/>
        </w:rPr>
        <w:t>》《碳排放权交易管理规则</w:t>
      </w:r>
      <w:r>
        <w:rPr>
          <w:rFonts w:hint="eastAsia"/>
          <w:lang w:eastAsia="zh-CN"/>
        </w:rPr>
        <w:t>(</w:t>
      </w:r>
      <w:r>
        <w:rPr>
          <w:rFonts w:hint="eastAsia"/>
        </w:rPr>
        <w:t>试行</w:t>
      </w:r>
      <w:r>
        <w:rPr>
          <w:rFonts w:hint="eastAsia"/>
          <w:lang w:eastAsia="zh-CN"/>
        </w:rPr>
        <w:t>)</w:t>
      </w:r>
      <w:r>
        <w:rPr>
          <w:rFonts w:hint="eastAsia"/>
        </w:rPr>
        <w:t>》和《碳排放权结算管理规则</w:t>
      </w:r>
      <w:r>
        <w:rPr>
          <w:rFonts w:hint="eastAsia"/>
          <w:lang w:eastAsia="zh-CN"/>
        </w:rPr>
        <w:t>(</w:t>
      </w:r>
      <w:r>
        <w:rPr>
          <w:rFonts w:hint="eastAsia"/>
        </w:rPr>
        <w:t>试行</w:t>
      </w:r>
      <w:r>
        <w:rPr>
          <w:rFonts w:hint="eastAsia"/>
          <w:lang w:eastAsia="zh-CN"/>
        </w:rPr>
        <w:t>)</w:t>
      </w:r>
      <w:r>
        <w:rPr>
          <w:rFonts w:hint="eastAsia"/>
        </w:rPr>
        <w:t>》的公告，公告指出：一、全国碳排放权注册登记机构成立前，由湖北碳排放权交易中心有限公司承担全国碳排放权注册登记系统账户开立和运行维护等具体工作。二、全国碳排放权交易机构成立前，由上海环境能源交易所股份有限公司承担全国碳排放权交易系统账户开立和运行维护等具体工作。三、《碳排放权登记管理规则</w:t>
      </w:r>
      <w:r>
        <w:rPr>
          <w:rFonts w:hint="eastAsia"/>
          <w:lang w:eastAsia="zh-CN"/>
        </w:rPr>
        <w:t>(</w:t>
      </w:r>
      <w:r>
        <w:rPr>
          <w:rFonts w:hint="eastAsia"/>
        </w:rPr>
        <w:t>试行</w:t>
      </w:r>
      <w:r>
        <w:rPr>
          <w:rFonts w:hint="eastAsia"/>
          <w:lang w:eastAsia="zh-CN"/>
        </w:rPr>
        <w:t>)</w:t>
      </w:r>
      <w:r>
        <w:rPr>
          <w:rFonts w:hint="eastAsia"/>
        </w:rPr>
        <w:t>》《碳排放权交易管理规则</w:t>
      </w:r>
      <w:r>
        <w:rPr>
          <w:rFonts w:hint="eastAsia"/>
          <w:lang w:eastAsia="zh-CN"/>
        </w:rPr>
        <w:t>(</w:t>
      </w:r>
      <w:r>
        <w:rPr>
          <w:rFonts w:hint="eastAsia"/>
        </w:rPr>
        <w:t>试行</w:t>
      </w:r>
      <w:r>
        <w:rPr>
          <w:rFonts w:hint="eastAsia"/>
          <w:lang w:eastAsia="zh-CN"/>
        </w:rPr>
        <w:t>)</w:t>
      </w:r>
      <w:r>
        <w:rPr>
          <w:rFonts w:hint="eastAsia"/>
        </w:rPr>
        <w:t>》和《碳排放权结算管理规则</w:t>
      </w:r>
      <w:r>
        <w:rPr>
          <w:rFonts w:hint="eastAsia"/>
          <w:lang w:eastAsia="zh-CN"/>
        </w:rPr>
        <w:t>(</w:t>
      </w:r>
      <w:r>
        <w:rPr>
          <w:rFonts w:hint="eastAsia"/>
        </w:rPr>
        <w:t>试行</w:t>
      </w:r>
      <w:r>
        <w:rPr>
          <w:rFonts w:hint="eastAsia"/>
          <w:lang w:eastAsia="zh-CN"/>
        </w:rPr>
        <w:t>)</w:t>
      </w:r>
      <w:r>
        <w:rPr>
          <w:rFonts w:hint="eastAsia"/>
        </w:rPr>
        <w:t>》自本公告发布之日起施行。</w:t>
      </w:r>
    </w:p>
    <w:p>
      <w:pPr>
        <w:pStyle w:val="3"/>
        <w:bidi w:val="0"/>
      </w:pPr>
      <w:r>
        <w:rPr>
          <w:rFonts w:hint="eastAsia"/>
        </w:rPr>
        <w:t>为深入贯彻国务院办公厅《国务院关于加快建立健全绿色低碳循环发展经济体系的指导意见》文件精神，发展建立在高效利用资源、严格保护生态环境、有效控制温室气体排放的基础上，统筹推进高质量发展和高水平保护，建立健全绿色低碳循环发展的经济体系，确保实现碳达峰、碳中和目标。由</w:t>
      </w:r>
      <w:r>
        <w:rPr>
          <w:rFonts w:hint="eastAsia"/>
          <w:lang w:val="en-US" w:eastAsia="zh-CN"/>
        </w:rPr>
        <w:t>中国节能协会联合</w:t>
      </w:r>
      <w:r>
        <w:rPr>
          <w:rFonts w:hint="eastAsia"/>
        </w:rPr>
        <w:t>中企工培</w:t>
      </w:r>
      <w:r>
        <w:rPr>
          <w:rFonts w:hint="eastAsia"/>
          <w:lang w:eastAsia="zh-CN"/>
        </w:rPr>
        <w:t>(</w:t>
      </w:r>
      <w:r>
        <w:rPr>
          <w:rFonts w:hint="eastAsia"/>
        </w:rPr>
        <w:t>北京</w:t>
      </w:r>
      <w:r>
        <w:rPr>
          <w:rFonts w:hint="eastAsia"/>
          <w:lang w:eastAsia="zh-CN"/>
        </w:rPr>
        <w:t>)</w:t>
      </w:r>
      <w:r>
        <w:rPr>
          <w:rFonts w:hint="eastAsia"/>
        </w:rPr>
        <w:t>教育咨询有限责任公司</w:t>
      </w:r>
      <w:r>
        <w:rPr>
          <w:rFonts w:hint="eastAsia"/>
          <w:lang w:val="en-US" w:eastAsia="zh-CN"/>
        </w:rPr>
        <w:t>共同开展的碳交易师专业技能岗位</w:t>
      </w:r>
      <w:r>
        <w:rPr>
          <w:rFonts w:hint="eastAsia"/>
        </w:rPr>
        <w:t>培训及等级考试工作正式开启，经考试合格者，由</w:t>
      </w:r>
      <w:r>
        <w:rPr>
          <w:rFonts w:hint="eastAsia"/>
          <w:lang w:val="en-US" w:eastAsia="zh-CN"/>
        </w:rPr>
        <w:t>中国节能协会</w:t>
      </w:r>
      <w:r>
        <w:rPr>
          <w:rFonts w:hint="eastAsia"/>
        </w:rPr>
        <w:t>颁发</w:t>
      </w:r>
      <w:r>
        <w:rPr>
          <w:rFonts w:hint="eastAsia"/>
          <w:lang w:val="en-US" w:eastAsia="zh-CN"/>
        </w:rPr>
        <w:t>碳交易师专业技能岗位</w:t>
      </w:r>
      <w:r>
        <w:rPr>
          <w:rFonts w:hint="eastAsia"/>
        </w:rPr>
        <w:t>证书。</w:t>
      </w:r>
    </w:p>
    <w:p>
      <w:pPr>
        <w:pStyle w:val="5"/>
        <w:bidi w:val="0"/>
        <w:rPr>
          <w:rFonts w:hint="default"/>
          <w:lang w:val="en-US" w:eastAsia="zh-CN"/>
        </w:rPr>
      </w:pPr>
      <w:r>
        <w:rPr>
          <w:rFonts w:hint="eastAsia"/>
          <w:lang w:val="en-US" w:eastAsia="zh-CN"/>
        </w:rPr>
        <w:t>一、培训目标</w:t>
      </w:r>
    </w:p>
    <w:p>
      <w:pPr>
        <w:pStyle w:val="2"/>
        <w:bidi w:val="0"/>
        <w:rPr>
          <w:rFonts w:hint="eastAsia"/>
          <w:lang w:eastAsia="zh-CN"/>
        </w:rPr>
      </w:pPr>
      <w:r>
        <w:rPr>
          <w:rFonts w:hint="eastAsia"/>
          <w:lang w:eastAsia="zh-CN"/>
        </w:rPr>
        <w:t>(1)了解碳排放相关理论知识；</w:t>
      </w:r>
    </w:p>
    <w:p>
      <w:pPr>
        <w:pStyle w:val="2"/>
        <w:bidi w:val="0"/>
        <w:rPr>
          <w:rFonts w:hint="eastAsia"/>
          <w:lang w:eastAsia="zh-CN"/>
        </w:rPr>
      </w:pPr>
      <w:r>
        <w:rPr>
          <w:rFonts w:hint="eastAsia"/>
          <w:lang w:eastAsia="zh-CN"/>
        </w:rPr>
        <w:t>(2)了解碳排放权交易发展历程，交易类型及市场机制；</w:t>
      </w:r>
    </w:p>
    <w:p>
      <w:pPr>
        <w:pStyle w:val="2"/>
        <w:bidi w:val="0"/>
        <w:rPr>
          <w:rFonts w:hint="eastAsia"/>
          <w:lang w:eastAsia="zh-CN"/>
        </w:rPr>
      </w:pPr>
      <w:r>
        <w:rPr>
          <w:rFonts w:hint="eastAsia"/>
          <w:lang w:eastAsia="zh-CN"/>
        </w:rPr>
        <w:t>(3)熟悉我国当前碳排放权交易相关政策法规；</w:t>
      </w:r>
    </w:p>
    <w:p>
      <w:pPr>
        <w:pStyle w:val="2"/>
        <w:bidi w:val="0"/>
        <w:rPr>
          <w:rFonts w:hint="eastAsia"/>
          <w:lang w:eastAsia="zh-CN"/>
        </w:rPr>
      </w:pPr>
      <w:r>
        <w:rPr>
          <w:rFonts w:hint="eastAsia"/>
          <w:lang w:eastAsia="zh-CN"/>
        </w:rPr>
        <w:t>(4)熟悉碳排放量化、报告于核查流程，能初步制定碳管理策略；</w:t>
      </w:r>
    </w:p>
    <w:p>
      <w:pPr>
        <w:pStyle w:val="5"/>
        <w:bidi w:val="0"/>
        <w:ind w:left="801" w:hanging="801"/>
        <w:rPr>
          <w:rFonts w:hint="eastAsia" w:ascii="Arial" w:hAnsi="Arial"/>
          <w:b/>
          <w:lang w:val="en-US" w:eastAsia="zh-CN"/>
        </w:rPr>
      </w:pPr>
      <w:r>
        <w:rPr>
          <w:rFonts w:hint="eastAsia" w:ascii="Arial" w:hAnsi="Arial"/>
          <w:b/>
          <w:lang w:val="en-US" w:eastAsia="zh-CN"/>
        </w:rPr>
        <w:t>二、培训对象</w:t>
      </w:r>
    </w:p>
    <w:p>
      <w:pPr>
        <w:pStyle w:val="2"/>
        <w:bidi w:val="0"/>
        <w:rPr>
          <w:rFonts w:hint="eastAsia"/>
        </w:rPr>
      </w:pPr>
      <w:r>
        <w:rPr>
          <w:rFonts w:hint="eastAsia"/>
        </w:rPr>
        <w:t>发电、石化、化工、建材、钢铁、有色、造纸、航空等重点排放行业能源管</w:t>
      </w:r>
      <w:r>
        <w:rPr>
          <w:rFonts w:hint="eastAsia"/>
          <w:lang w:eastAsia="zh-CN"/>
        </w:rPr>
        <w:t>碳交易师</w:t>
      </w:r>
      <w:r>
        <w:rPr>
          <w:rFonts w:hint="eastAsia"/>
        </w:rPr>
        <w:t>理人员；</w:t>
      </w:r>
      <w:r>
        <w:rPr>
          <w:rFonts w:hint="eastAsia"/>
          <w:lang w:eastAsia="zh-CN"/>
        </w:rPr>
        <w:t>碳交易师</w:t>
      </w:r>
      <w:r>
        <w:rPr>
          <w:rFonts w:hint="eastAsia"/>
        </w:rPr>
        <w:t>从事温室气体排放核算核查的咨询服务机构、第三方审核机构、节能服</w:t>
      </w:r>
      <w:r>
        <w:rPr>
          <w:rFonts w:hint="eastAsia"/>
          <w:lang w:eastAsia="zh-CN"/>
        </w:rPr>
        <w:t>碳交易师</w:t>
      </w:r>
      <w:r>
        <w:rPr>
          <w:rFonts w:hint="eastAsia"/>
        </w:rPr>
        <w:t>务公司相关人员；</w:t>
      </w:r>
      <w:r>
        <w:rPr>
          <w:rFonts w:hint="eastAsia"/>
          <w:lang w:eastAsia="zh-CN"/>
        </w:rPr>
        <w:t>碳交易师</w:t>
      </w:r>
      <w:r>
        <w:rPr>
          <w:rFonts w:hint="eastAsia"/>
        </w:rPr>
        <w:t>国家低碳试点省市、园区、社区及政府与应对气候变化相关的</w:t>
      </w:r>
      <w:r>
        <w:rPr>
          <w:rFonts w:hint="eastAsia"/>
          <w:lang w:eastAsia="zh-CN"/>
        </w:rPr>
        <w:t>碳交易师</w:t>
      </w:r>
      <w:r>
        <w:rPr>
          <w:rFonts w:hint="eastAsia"/>
        </w:rPr>
        <w:t>管理人员；</w:t>
      </w:r>
      <w:r>
        <w:rPr>
          <w:rFonts w:hint="eastAsia"/>
          <w:lang w:eastAsia="zh-CN"/>
        </w:rPr>
        <w:t>碳交易师</w:t>
      </w:r>
      <w:r>
        <w:rPr>
          <w:rFonts w:hint="eastAsia"/>
        </w:rPr>
        <w:t>其他关注中国碳市场发展、有志参与碳交易的人士。</w:t>
      </w:r>
    </w:p>
    <w:p>
      <w:pPr>
        <w:pStyle w:val="5"/>
        <w:bidi w:val="0"/>
        <w:ind w:left="801" w:hanging="801"/>
        <w:rPr>
          <w:rFonts w:hint="default" w:ascii="Arial" w:hAnsi="Arial"/>
          <w:b/>
          <w:lang w:val="en-US" w:eastAsia="zh-CN"/>
        </w:rPr>
      </w:pPr>
      <w:r>
        <w:rPr>
          <w:rFonts w:hint="eastAsia" w:ascii="Arial" w:hAnsi="Arial"/>
          <w:b/>
          <w:lang w:val="en-US" w:eastAsia="zh-CN"/>
        </w:rPr>
        <w:t>三、培训大纲</w:t>
      </w:r>
    </w:p>
    <w:p>
      <w:pPr>
        <w:pStyle w:val="2"/>
        <w:bidi w:val="0"/>
        <w:rPr>
          <w:b/>
          <w:bCs/>
        </w:rPr>
      </w:pPr>
      <w:r>
        <w:rPr>
          <w:rFonts w:hint="eastAsia"/>
          <w:b/>
          <w:bCs/>
          <w:lang w:val="en-US" w:eastAsia="zh-CN"/>
        </w:rPr>
        <w:t>模块一</w:t>
      </w:r>
      <w:r>
        <w:rPr>
          <w:b/>
          <w:bCs/>
        </w:rPr>
        <w:t>：碳排放基础知识及碳减排背景</w:t>
      </w:r>
    </w:p>
    <w:p>
      <w:pPr>
        <w:pStyle w:val="2"/>
        <w:bidi w:val="0"/>
      </w:pPr>
      <w:r>
        <w:rPr>
          <w:rFonts w:hint="eastAsia"/>
          <w:lang w:eastAsia="zh-CN"/>
        </w:rPr>
        <w:t>(</w:t>
      </w:r>
      <w:r>
        <w:t>1</w:t>
      </w:r>
      <w:r>
        <w:rPr>
          <w:rFonts w:hint="eastAsia"/>
          <w:lang w:eastAsia="zh-CN"/>
        </w:rPr>
        <w:t>)</w:t>
      </w:r>
      <w:r>
        <w:t>温室气体的影响</w:t>
      </w:r>
    </w:p>
    <w:p>
      <w:pPr>
        <w:pStyle w:val="2"/>
        <w:bidi w:val="0"/>
      </w:pPr>
      <w:r>
        <w:rPr>
          <w:rFonts w:hint="eastAsia"/>
          <w:lang w:eastAsia="zh-CN"/>
        </w:rPr>
        <w:t>(</w:t>
      </w:r>
      <w:r>
        <w:t>2</w:t>
      </w:r>
      <w:r>
        <w:rPr>
          <w:rFonts w:hint="eastAsia"/>
          <w:lang w:eastAsia="zh-CN"/>
        </w:rPr>
        <w:t>)</w:t>
      </w:r>
      <w:r>
        <w:t>国际国内应对气候变化的行动</w:t>
      </w:r>
    </w:p>
    <w:p>
      <w:pPr>
        <w:pStyle w:val="2"/>
        <w:bidi w:val="0"/>
      </w:pPr>
      <w:r>
        <w:rPr>
          <w:rFonts w:hint="eastAsia"/>
          <w:lang w:eastAsia="zh-CN"/>
        </w:rPr>
        <w:t>(</w:t>
      </w:r>
      <w:r>
        <w:t>3</w:t>
      </w:r>
      <w:r>
        <w:rPr>
          <w:rFonts w:hint="eastAsia"/>
          <w:lang w:eastAsia="zh-CN"/>
        </w:rPr>
        <w:t>)</w:t>
      </w:r>
      <w:r>
        <w:t>碳排放术语及解读</w:t>
      </w:r>
    </w:p>
    <w:p>
      <w:pPr>
        <w:pStyle w:val="2"/>
        <w:bidi w:val="0"/>
      </w:pPr>
      <w:r>
        <w:rPr>
          <w:rFonts w:hint="eastAsia"/>
          <w:lang w:eastAsia="zh-CN"/>
        </w:rPr>
        <w:t>(</w:t>
      </w:r>
      <w:r>
        <w:t>4</w:t>
      </w:r>
      <w:r>
        <w:rPr>
          <w:rFonts w:hint="eastAsia"/>
          <w:lang w:eastAsia="zh-CN"/>
        </w:rPr>
        <w:t>)</w:t>
      </w:r>
      <w:r>
        <w:t>碳排放量化、报告与核查流程</w:t>
      </w:r>
    </w:p>
    <w:p>
      <w:pPr>
        <w:pStyle w:val="2"/>
        <w:bidi w:val="0"/>
      </w:pPr>
      <w:r>
        <w:rPr>
          <w:rFonts w:hint="eastAsia"/>
          <w:lang w:eastAsia="zh-CN"/>
        </w:rPr>
        <w:t>(</w:t>
      </w:r>
      <w:r>
        <w:t>5</w:t>
      </w:r>
      <w:r>
        <w:rPr>
          <w:rFonts w:hint="eastAsia"/>
          <w:lang w:eastAsia="zh-CN"/>
        </w:rPr>
        <w:t>)</w:t>
      </w:r>
      <w:r>
        <w:t>碳排放权交易概述</w:t>
      </w:r>
    </w:p>
    <w:p>
      <w:pPr>
        <w:pStyle w:val="2"/>
        <w:bidi w:val="0"/>
        <w:rPr>
          <w:b/>
          <w:bCs/>
        </w:rPr>
      </w:pPr>
      <w:r>
        <w:rPr>
          <w:rFonts w:hint="eastAsia"/>
          <w:b/>
          <w:bCs/>
          <w:lang w:val="en-US" w:eastAsia="zh-CN"/>
        </w:rPr>
        <w:t>模块二</w:t>
      </w:r>
      <w:r>
        <w:rPr>
          <w:b/>
          <w:bCs/>
        </w:rPr>
        <w:t>：碳排放权交易要点解读</w:t>
      </w:r>
    </w:p>
    <w:p>
      <w:pPr>
        <w:pStyle w:val="2"/>
        <w:bidi w:val="0"/>
      </w:pPr>
      <w:r>
        <w:rPr>
          <w:rFonts w:hint="eastAsia"/>
          <w:lang w:eastAsia="zh-CN"/>
        </w:rPr>
        <w:t>(</w:t>
      </w:r>
      <w:r>
        <w:t>1</w:t>
      </w:r>
      <w:r>
        <w:rPr>
          <w:rFonts w:hint="eastAsia"/>
          <w:lang w:eastAsia="zh-CN"/>
        </w:rPr>
        <w:t>)</w:t>
      </w:r>
      <w:r>
        <w:t>碳排放权交易背景及意义</w:t>
      </w:r>
    </w:p>
    <w:p>
      <w:pPr>
        <w:pStyle w:val="2"/>
        <w:bidi w:val="0"/>
      </w:pPr>
      <w:r>
        <w:rPr>
          <w:rFonts w:hint="eastAsia"/>
          <w:lang w:eastAsia="zh-CN"/>
        </w:rPr>
        <w:t>(</w:t>
      </w:r>
      <w:r>
        <w:t>2</w:t>
      </w:r>
      <w:r>
        <w:rPr>
          <w:rFonts w:hint="eastAsia"/>
          <w:lang w:eastAsia="zh-CN"/>
        </w:rPr>
        <w:t>)</w:t>
      </w:r>
      <w:r>
        <w:t>国内外碳排放权交易进程</w:t>
      </w:r>
    </w:p>
    <w:p>
      <w:pPr>
        <w:pStyle w:val="2"/>
        <w:bidi w:val="0"/>
        <w:rPr>
          <w:b w:val="0"/>
          <w:bCs w:val="0"/>
        </w:rPr>
      </w:pPr>
      <w:r>
        <w:rPr>
          <w:rFonts w:hint="eastAsia"/>
          <w:b w:val="0"/>
          <w:bCs w:val="0"/>
          <w:lang w:eastAsia="zh-CN"/>
        </w:rPr>
        <w:t>(</w:t>
      </w:r>
      <w:r>
        <w:rPr>
          <w:b w:val="0"/>
          <w:bCs w:val="0"/>
        </w:rPr>
        <w:t>3</w:t>
      </w:r>
      <w:r>
        <w:rPr>
          <w:rFonts w:hint="eastAsia"/>
          <w:b w:val="0"/>
          <w:bCs w:val="0"/>
          <w:lang w:eastAsia="zh-CN"/>
        </w:rPr>
        <w:t>)</w:t>
      </w:r>
      <w:r>
        <w:rPr>
          <w:b w:val="0"/>
          <w:bCs w:val="0"/>
        </w:rPr>
        <w:t>碳排放权交易流程</w:t>
      </w:r>
    </w:p>
    <w:p>
      <w:pPr>
        <w:pStyle w:val="2"/>
        <w:bidi w:val="0"/>
        <w:rPr>
          <w:b/>
          <w:bCs/>
        </w:rPr>
      </w:pPr>
      <w:r>
        <w:rPr>
          <w:rFonts w:hint="eastAsia"/>
          <w:b/>
          <w:bCs/>
          <w:lang w:val="en-US" w:eastAsia="zh-CN"/>
        </w:rPr>
        <w:t>模块三</w:t>
      </w:r>
      <w:r>
        <w:rPr>
          <w:b/>
          <w:bCs/>
        </w:rPr>
        <w:t>：我国碳排放权交易现状</w:t>
      </w:r>
    </w:p>
    <w:p>
      <w:pPr>
        <w:pStyle w:val="2"/>
        <w:bidi w:val="0"/>
      </w:pPr>
      <w:r>
        <w:rPr>
          <w:rFonts w:hint="eastAsia"/>
          <w:lang w:eastAsia="zh-CN"/>
        </w:rPr>
        <w:t>(</w:t>
      </w:r>
      <w:r>
        <w:t>1</w:t>
      </w:r>
      <w:r>
        <w:rPr>
          <w:rFonts w:hint="eastAsia"/>
          <w:lang w:eastAsia="zh-CN"/>
        </w:rPr>
        <w:t>)</w:t>
      </w:r>
      <w:r>
        <w:t>碳排放权交易相关政策法规解读</w:t>
      </w:r>
    </w:p>
    <w:p>
      <w:pPr>
        <w:pStyle w:val="2"/>
        <w:bidi w:val="0"/>
      </w:pPr>
      <w:r>
        <w:rPr>
          <w:rFonts w:hint="eastAsia"/>
          <w:lang w:eastAsia="zh-CN"/>
        </w:rPr>
        <w:t>(</w:t>
      </w:r>
      <w:r>
        <w:t>2</w:t>
      </w:r>
      <w:r>
        <w:rPr>
          <w:rFonts w:hint="eastAsia"/>
          <w:lang w:eastAsia="zh-CN"/>
        </w:rPr>
        <w:t>)</w:t>
      </w:r>
      <w:r>
        <w:t>碳排放权交易配额总量设定与分配</w:t>
      </w:r>
    </w:p>
    <w:p>
      <w:pPr>
        <w:pStyle w:val="2"/>
        <w:bidi w:val="0"/>
      </w:pPr>
      <w:r>
        <w:rPr>
          <w:rFonts w:hint="eastAsia"/>
          <w:lang w:eastAsia="zh-CN"/>
        </w:rPr>
        <w:t>(</w:t>
      </w:r>
      <w:r>
        <w:t>3</w:t>
      </w:r>
      <w:r>
        <w:rPr>
          <w:rFonts w:hint="eastAsia"/>
          <w:lang w:eastAsia="zh-CN"/>
        </w:rPr>
        <w:t>)</w:t>
      </w:r>
      <w:r>
        <w:t>国家核证自愿减排项目</w:t>
      </w:r>
      <w:r>
        <w:rPr>
          <w:rFonts w:hint="eastAsia"/>
          <w:lang w:eastAsia="zh-CN"/>
        </w:rPr>
        <w:t>(</w:t>
      </w:r>
      <w:r>
        <w:t>CCER</w:t>
      </w:r>
      <w:r>
        <w:rPr>
          <w:rFonts w:hint="eastAsia"/>
          <w:lang w:eastAsia="zh-CN"/>
        </w:rPr>
        <w:t>)</w:t>
      </w:r>
      <w:r>
        <w:t>开发</w:t>
      </w:r>
    </w:p>
    <w:p>
      <w:pPr>
        <w:pStyle w:val="2"/>
        <w:bidi w:val="0"/>
      </w:pPr>
      <w:r>
        <w:rPr>
          <w:rFonts w:hint="eastAsia"/>
          <w:lang w:eastAsia="zh-CN"/>
        </w:rPr>
        <w:t>(</w:t>
      </w:r>
      <w:r>
        <w:t>4</w:t>
      </w:r>
      <w:r>
        <w:rPr>
          <w:rFonts w:hint="eastAsia"/>
          <w:lang w:eastAsia="zh-CN"/>
        </w:rPr>
        <w:t>)</w:t>
      </w:r>
      <w:r>
        <w:t>我国碳排放权登记、交易和结算概述</w:t>
      </w:r>
    </w:p>
    <w:p>
      <w:pPr>
        <w:pStyle w:val="2"/>
        <w:bidi w:val="0"/>
      </w:pPr>
      <w:r>
        <w:rPr>
          <w:rFonts w:hint="eastAsia"/>
          <w:lang w:eastAsia="zh-CN"/>
        </w:rPr>
        <w:t>(</w:t>
      </w:r>
      <w:r>
        <w:t>5</w:t>
      </w:r>
      <w:r>
        <w:rPr>
          <w:rFonts w:hint="eastAsia"/>
          <w:lang w:eastAsia="zh-CN"/>
        </w:rPr>
        <w:t>)</w:t>
      </w:r>
      <w:r>
        <w:t>碳减排政策及措施</w:t>
      </w:r>
    </w:p>
    <w:p>
      <w:pPr>
        <w:pStyle w:val="5"/>
        <w:bidi w:val="0"/>
        <w:ind w:left="801" w:hanging="801"/>
        <w:rPr>
          <w:rFonts w:hint="eastAsia" w:ascii="Arial" w:hAnsi="Arial"/>
          <w:b/>
          <w:lang w:val="en-US" w:eastAsia="zh-CN"/>
        </w:rPr>
      </w:pPr>
      <w:r>
        <w:rPr>
          <w:rFonts w:hint="eastAsia" w:ascii="Arial" w:hAnsi="Arial"/>
          <w:b/>
          <w:lang w:val="en-US" w:eastAsia="zh-CN"/>
        </w:rPr>
        <w:t>四、等级考试和报考条件</w:t>
      </w:r>
    </w:p>
    <w:p>
      <w:pPr>
        <w:ind w:firstLine="480"/>
        <w:rPr>
          <w:rFonts w:hint="eastAsia" w:ascii="仿宋" w:hAnsi="仿宋" w:eastAsia="仿宋" w:cs="仿宋"/>
        </w:rPr>
      </w:pPr>
      <w:r>
        <w:rPr>
          <w:rFonts w:hint="eastAsia" w:ascii="仿宋" w:hAnsi="仿宋" w:cs="仿宋"/>
          <w:lang w:eastAsia="zh-CN"/>
        </w:rPr>
        <w:t>碳交易师</w:t>
      </w:r>
      <w:r>
        <w:rPr>
          <w:rFonts w:hint="eastAsia" w:ascii="仿宋" w:hAnsi="仿宋" w:eastAsia="仿宋" w:cs="仿宋"/>
        </w:rPr>
        <w:t>专业技术人员岗位考核共划分为3个级别：初级</w:t>
      </w:r>
      <w:r>
        <w:rPr>
          <w:rFonts w:hint="eastAsia" w:ascii="仿宋" w:hAnsi="仿宋" w:cs="仿宋"/>
          <w:lang w:eastAsia="zh-CN"/>
        </w:rPr>
        <w:t>碳交易师</w:t>
      </w:r>
      <w:r>
        <w:rPr>
          <w:rFonts w:hint="eastAsia" w:ascii="仿宋" w:hAnsi="仿宋" w:eastAsia="仿宋" w:cs="仿宋"/>
        </w:rPr>
        <w:t>、中级</w:t>
      </w:r>
      <w:r>
        <w:rPr>
          <w:rFonts w:hint="eastAsia" w:ascii="仿宋" w:hAnsi="仿宋" w:cs="仿宋"/>
          <w:lang w:eastAsia="zh-CN"/>
        </w:rPr>
        <w:t>碳交易师</w:t>
      </w:r>
      <w:r>
        <w:rPr>
          <w:rFonts w:hint="eastAsia" w:ascii="仿宋" w:hAnsi="仿宋" w:eastAsia="仿宋" w:cs="仿宋"/>
        </w:rPr>
        <w:t>、高级</w:t>
      </w:r>
      <w:r>
        <w:rPr>
          <w:rFonts w:hint="eastAsia" w:ascii="仿宋" w:hAnsi="仿宋" w:cs="仿宋"/>
          <w:lang w:eastAsia="zh-CN"/>
        </w:rPr>
        <w:t>碳交易师</w:t>
      </w:r>
      <w:r>
        <w:rPr>
          <w:rFonts w:hint="eastAsia" w:ascii="仿宋" w:hAnsi="仿宋" w:eastAsia="仿宋" w:cs="仿宋"/>
        </w:rPr>
        <w:t>。</w:t>
      </w:r>
    </w:p>
    <w:p>
      <w:pPr>
        <w:ind w:firstLine="480"/>
        <w:rPr>
          <w:rFonts w:hint="eastAsia" w:ascii="仿宋" w:hAnsi="仿宋" w:eastAsia="仿宋" w:cs="仿宋"/>
        </w:rPr>
      </w:pPr>
      <w:r>
        <w:rPr>
          <w:rFonts w:hint="eastAsia" w:ascii="仿宋" w:hAnsi="仿宋" w:eastAsia="仿宋" w:cs="仿宋"/>
          <w:b/>
          <w:bCs/>
        </w:rPr>
        <w:t>1、初级</w:t>
      </w:r>
      <w:r>
        <w:rPr>
          <w:rFonts w:hint="eastAsia" w:ascii="仿宋" w:hAnsi="仿宋" w:cs="仿宋"/>
          <w:b/>
          <w:bCs/>
          <w:lang w:eastAsia="zh-CN"/>
        </w:rPr>
        <w:t>碳交易师</w:t>
      </w:r>
      <w:r>
        <w:rPr>
          <w:rFonts w:hint="eastAsia" w:ascii="仿宋" w:hAnsi="仿宋" w:eastAsia="仿宋" w:cs="仿宋"/>
          <w:b/>
          <w:bCs/>
        </w:rPr>
        <w:t>：</w:t>
      </w:r>
    </w:p>
    <w:p>
      <w:pPr>
        <w:ind w:firstLine="480"/>
        <w:rPr>
          <w:rFonts w:hint="eastAsia" w:ascii="仿宋" w:hAnsi="仿宋" w:eastAsia="仿宋" w:cs="仿宋"/>
        </w:rPr>
      </w:pPr>
      <w:r>
        <w:rPr>
          <w:rFonts w:hint="eastAsia" w:ascii="仿宋" w:hAnsi="仿宋" w:cs="仿宋"/>
          <w:lang w:eastAsia="zh-CN"/>
        </w:rPr>
        <w:t>(</w:t>
      </w:r>
      <w:r>
        <w:rPr>
          <w:rFonts w:hint="eastAsia" w:ascii="仿宋" w:hAnsi="仿宋" w:eastAsia="仿宋" w:cs="仿宋"/>
        </w:rPr>
        <w:t>1</w:t>
      </w:r>
      <w:r>
        <w:rPr>
          <w:rFonts w:hint="eastAsia" w:ascii="仿宋" w:hAnsi="仿宋" w:cs="仿宋"/>
          <w:lang w:eastAsia="zh-CN"/>
        </w:rPr>
        <w:t>)</w:t>
      </w:r>
      <w:r>
        <w:rPr>
          <w:rFonts w:hint="eastAsia" w:ascii="仿宋" w:hAnsi="仿宋" w:eastAsia="仿宋" w:cs="仿宋"/>
        </w:rPr>
        <w:t>、具有环境工程与科学、能源等相关专业大专学历及以上学历。</w:t>
      </w:r>
    </w:p>
    <w:p>
      <w:pPr>
        <w:ind w:firstLine="480"/>
        <w:rPr>
          <w:rFonts w:hint="eastAsia" w:ascii="仿宋" w:hAnsi="仿宋" w:eastAsia="仿宋" w:cs="仿宋"/>
        </w:rPr>
      </w:pPr>
      <w:r>
        <w:rPr>
          <w:rFonts w:hint="eastAsia" w:ascii="仿宋" w:hAnsi="仿宋" w:cs="仿宋"/>
          <w:lang w:eastAsia="zh-CN"/>
        </w:rPr>
        <w:t>(</w:t>
      </w:r>
      <w:r>
        <w:rPr>
          <w:rFonts w:hint="eastAsia" w:ascii="仿宋" w:hAnsi="仿宋" w:eastAsia="仿宋" w:cs="仿宋"/>
        </w:rPr>
        <w:t>2</w:t>
      </w:r>
      <w:r>
        <w:rPr>
          <w:rFonts w:hint="eastAsia" w:ascii="仿宋" w:hAnsi="仿宋" w:cs="仿宋"/>
          <w:lang w:eastAsia="zh-CN"/>
        </w:rPr>
        <w:t>)</w:t>
      </w:r>
      <w:r>
        <w:rPr>
          <w:rFonts w:hint="eastAsia" w:ascii="仿宋" w:hAnsi="仿宋" w:eastAsia="仿宋" w:cs="仿宋"/>
        </w:rPr>
        <w:t>、取得其他专业相应学历或者学位的人员，其工作年限和从事相关领域技术工作年限满1年。</w:t>
      </w:r>
    </w:p>
    <w:p>
      <w:pPr>
        <w:ind w:firstLine="480"/>
        <w:rPr>
          <w:rFonts w:hint="eastAsia" w:ascii="仿宋" w:hAnsi="仿宋" w:eastAsia="仿宋" w:cs="仿宋"/>
        </w:rPr>
      </w:pPr>
      <w:r>
        <w:rPr>
          <w:rFonts w:hint="eastAsia" w:ascii="仿宋" w:hAnsi="仿宋" w:eastAsia="仿宋" w:cs="仿宋"/>
        </w:rPr>
        <w:t>(以上条件需满足其中一条)</w:t>
      </w:r>
    </w:p>
    <w:p>
      <w:pPr>
        <w:ind w:firstLine="480"/>
        <w:rPr>
          <w:rFonts w:hint="eastAsia" w:ascii="仿宋" w:hAnsi="仿宋" w:eastAsia="仿宋" w:cs="仿宋"/>
          <w:b/>
          <w:bCs/>
        </w:rPr>
      </w:pPr>
      <w:r>
        <w:rPr>
          <w:rFonts w:hint="eastAsia" w:ascii="仿宋" w:hAnsi="仿宋" w:eastAsia="仿宋" w:cs="仿宋"/>
          <w:b/>
          <w:bCs/>
        </w:rPr>
        <w:t>2、中级</w:t>
      </w:r>
      <w:r>
        <w:rPr>
          <w:rFonts w:hint="eastAsia" w:ascii="仿宋" w:hAnsi="仿宋" w:cs="仿宋"/>
          <w:b/>
          <w:bCs/>
          <w:lang w:eastAsia="zh-CN"/>
        </w:rPr>
        <w:t>碳交易师</w:t>
      </w:r>
      <w:r>
        <w:rPr>
          <w:rFonts w:hint="eastAsia" w:ascii="仿宋" w:hAnsi="仿宋" w:eastAsia="仿宋" w:cs="仿宋"/>
          <w:b/>
          <w:bCs/>
        </w:rPr>
        <w:t>：</w:t>
      </w:r>
    </w:p>
    <w:p>
      <w:pPr>
        <w:ind w:firstLine="480"/>
        <w:rPr>
          <w:rFonts w:hint="eastAsia" w:ascii="仿宋" w:hAnsi="仿宋" w:eastAsia="仿宋" w:cs="仿宋"/>
        </w:rPr>
      </w:pPr>
      <w:r>
        <w:rPr>
          <w:rFonts w:hint="eastAsia" w:ascii="仿宋" w:hAnsi="仿宋" w:cs="仿宋"/>
          <w:lang w:eastAsia="zh-CN"/>
        </w:rPr>
        <w:t>(</w:t>
      </w:r>
      <w:r>
        <w:rPr>
          <w:rFonts w:hint="eastAsia" w:ascii="仿宋" w:hAnsi="仿宋" w:eastAsia="仿宋" w:cs="仿宋"/>
        </w:rPr>
        <w:t>1</w:t>
      </w:r>
      <w:r>
        <w:rPr>
          <w:rFonts w:hint="eastAsia" w:ascii="仿宋" w:hAnsi="仿宋" w:cs="仿宋"/>
          <w:lang w:eastAsia="zh-CN"/>
        </w:rPr>
        <w:t>)</w:t>
      </w:r>
      <w:r>
        <w:rPr>
          <w:rFonts w:hint="eastAsia" w:ascii="仿宋" w:hAnsi="仿宋" w:eastAsia="仿宋" w:cs="仿宋"/>
        </w:rPr>
        <w:t>具有环境工程与科学、能源等相关专业大专学历及以上学历，连续从事相关领域工作满1年及以上；</w:t>
      </w:r>
    </w:p>
    <w:p>
      <w:pPr>
        <w:ind w:firstLine="480"/>
        <w:rPr>
          <w:rFonts w:hint="eastAsia" w:ascii="仿宋" w:hAnsi="仿宋" w:eastAsia="仿宋" w:cs="仿宋"/>
        </w:rPr>
      </w:pPr>
      <w:r>
        <w:rPr>
          <w:rFonts w:hint="eastAsia" w:ascii="仿宋" w:hAnsi="仿宋" w:cs="仿宋"/>
          <w:lang w:eastAsia="zh-CN"/>
        </w:rPr>
        <w:t>(</w:t>
      </w:r>
      <w:r>
        <w:rPr>
          <w:rFonts w:hint="eastAsia" w:ascii="仿宋" w:hAnsi="仿宋" w:eastAsia="仿宋" w:cs="仿宋"/>
        </w:rPr>
        <w:t>2</w:t>
      </w:r>
      <w:r>
        <w:rPr>
          <w:rFonts w:hint="eastAsia" w:ascii="仿宋" w:hAnsi="仿宋" w:cs="仿宋"/>
          <w:lang w:eastAsia="zh-CN"/>
        </w:rPr>
        <w:t>)</w:t>
      </w:r>
      <w:r>
        <w:rPr>
          <w:rFonts w:hint="eastAsia" w:ascii="仿宋" w:hAnsi="仿宋" w:eastAsia="仿宋" w:cs="仿宋"/>
        </w:rPr>
        <w:t>取得其他专业相应学历或者学位的人员，其工作年限和从事相关领域技术工作年限均相应增加1年；</w:t>
      </w:r>
    </w:p>
    <w:p>
      <w:pPr>
        <w:ind w:firstLine="480"/>
        <w:rPr>
          <w:rFonts w:hint="eastAsia" w:ascii="仿宋" w:hAnsi="仿宋" w:eastAsia="仿宋" w:cs="仿宋"/>
        </w:rPr>
      </w:pPr>
      <w:r>
        <w:rPr>
          <w:rFonts w:hint="eastAsia" w:ascii="仿宋" w:hAnsi="仿宋" w:cs="仿宋"/>
          <w:lang w:eastAsia="zh-CN"/>
        </w:rPr>
        <w:t>(</w:t>
      </w:r>
      <w:r>
        <w:rPr>
          <w:rFonts w:hint="eastAsia" w:ascii="仿宋" w:hAnsi="仿宋" w:eastAsia="仿宋" w:cs="仿宋"/>
        </w:rPr>
        <w:t>3</w:t>
      </w:r>
      <w:r>
        <w:rPr>
          <w:rFonts w:hint="eastAsia" w:ascii="仿宋" w:hAnsi="仿宋" w:cs="仿宋"/>
          <w:lang w:eastAsia="zh-CN"/>
        </w:rPr>
        <w:t>)</w:t>
      </w:r>
      <w:r>
        <w:rPr>
          <w:rFonts w:hint="eastAsia" w:ascii="仿宋" w:hAnsi="仿宋" w:eastAsia="仿宋" w:cs="仿宋"/>
        </w:rPr>
        <w:t>取得初级证书，从事相关领域工作满一年。</w:t>
      </w:r>
    </w:p>
    <w:p>
      <w:pPr>
        <w:ind w:firstLine="480"/>
        <w:rPr>
          <w:rFonts w:hint="eastAsia" w:ascii="仿宋" w:hAnsi="仿宋" w:eastAsia="仿宋" w:cs="仿宋"/>
        </w:rPr>
      </w:pPr>
      <w:r>
        <w:rPr>
          <w:rFonts w:hint="eastAsia" w:ascii="仿宋" w:hAnsi="仿宋" w:eastAsia="仿宋" w:cs="仿宋"/>
        </w:rPr>
        <w:t>(以上条件需满足其中一条)</w:t>
      </w:r>
    </w:p>
    <w:p>
      <w:pPr>
        <w:ind w:firstLine="480"/>
        <w:rPr>
          <w:rFonts w:hint="eastAsia" w:ascii="仿宋" w:hAnsi="仿宋" w:eastAsia="仿宋" w:cs="仿宋"/>
          <w:b/>
          <w:bCs/>
        </w:rPr>
      </w:pPr>
      <w:r>
        <w:rPr>
          <w:rFonts w:hint="eastAsia" w:ascii="仿宋" w:hAnsi="仿宋" w:eastAsia="仿宋" w:cs="仿宋"/>
          <w:b/>
          <w:bCs/>
        </w:rPr>
        <w:t>3、高级</w:t>
      </w:r>
      <w:r>
        <w:rPr>
          <w:rFonts w:hint="eastAsia" w:ascii="仿宋" w:hAnsi="仿宋" w:cs="仿宋"/>
          <w:b/>
          <w:bCs/>
          <w:lang w:eastAsia="zh-CN"/>
        </w:rPr>
        <w:t>碳交易师</w:t>
      </w:r>
      <w:r>
        <w:rPr>
          <w:rFonts w:hint="eastAsia" w:ascii="仿宋" w:hAnsi="仿宋" w:eastAsia="仿宋" w:cs="仿宋"/>
          <w:b/>
          <w:bCs/>
        </w:rPr>
        <w:t>：</w:t>
      </w:r>
    </w:p>
    <w:p>
      <w:pPr>
        <w:ind w:firstLine="480"/>
        <w:rPr>
          <w:rFonts w:hint="eastAsia" w:ascii="仿宋" w:hAnsi="仿宋" w:eastAsia="仿宋" w:cs="仿宋"/>
        </w:rPr>
      </w:pPr>
      <w:r>
        <w:rPr>
          <w:rFonts w:hint="eastAsia" w:ascii="仿宋" w:hAnsi="仿宋" w:cs="仿宋"/>
          <w:lang w:eastAsia="zh-CN"/>
        </w:rPr>
        <w:t>(</w:t>
      </w:r>
      <w:r>
        <w:rPr>
          <w:rFonts w:hint="eastAsia" w:ascii="仿宋" w:hAnsi="仿宋" w:eastAsia="仿宋" w:cs="仿宋"/>
        </w:rPr>
        <w:t>1</w:t>
      </w:r>
      <w:r>
        <w:rPr>
          <w:rFonts w:hint="eastAsia" w:ascii="仿宋" w:hAnsi="仿宋" w:cs="仿宋"/>
          <w:lang w:eastAsia="zh-CN"/>
        </w:rPr>
        <w:t>)</w:t>
      </w:r>
      <w:r>
        <w:rPr>
          <w:rFonts w:hint="eastAsia" w:ascii="仿宋" w:hAnsi="仿宋" w:eastAsia="仿宋" w:cs="仿宋"/>
        </w:rPr>
        <w:t>具有环境工程与科学、能源等相关专业大专学历及以上学历，连续从事相关领域工作满2年及以上；</w:t>
      </w:r>
    </w:p>
    <w:p>
      <w:pPr>
        <w:ind w:firstLine="480"/>
        <w:rPr>
          <w:rFonts w:hint="eastAsia" w:ascii="仿宋" w:hAnsi="仿宋" w:eastAsia="仿宋" w:cs="仿宋"/>
        </w:rPr>
      </w:pPr>
      <w:r>
        <w:rPr>
          <w:rFonts w:hint="eastAsia" w:ascii="仿宋" w:hAnsi="仿宋" w:cs="仿宋"/>
          <w:lang w:eastAsia="zh-CN"/>
        </w:rPr>
        <w:t>(</w:t>
      </w:r>
      <w:r>
        <w:rPr>
          <w:rFonts w:hint="eastAsia" w:ascii="仿宋" w:hAnsi="仿宋" w:eastAsia="仿宋" w:cs="仿宋"/>
        </w:rPr>
        <w:t>2</w:t>
      </w:r>
      <w:r>
        <w:rPr>
          <w:rFonts w:hint="eastAsia" w:ascii="仿宋" w:hAnsi="仿宋" w:cs="仿宋"/>
          <w:lang w:eastAsia="zh-CN"/>
        </w:rPr>
        <w:t>)</w:t>
      </w:r>
      <w:r>
        <w:rPr>
          <w:rFonts w:hint="eastAsia" w:ascii="仿宋" w:hAnsi="仿宋" w:eastAsia="仿宋" w:cs="仿宋"/>
        </w:rPr>
        <w:t>取得其他专业相应学历或者学位的人员，其工作年限和从事相关领域技术工作年限均相应增加1年；</w:t>
      </w:r>
    </w:p>
    <w:p>
      <w:pPr>
        <w:ind w:firstLine="480"/>
        <w:rPr>
          <w:rFonts w:hint="eastAsia" w:ascii="仿宋" w:hAnsi="仿宋" w:eastAsia="仿宋" w:cs="仿宋"/>
        </w:rPr>
      </w:pPr>
      <w:r>
        <w:rPr>
          <w:rFonts w:hint="eastAsia" w:ascii="仿宋" w:hAnsi="仿宋" w:eastAsia="仿宋" w:cs="仿宋"/>
        </w:rPr>
        <w:t>(以上条件需满足其中一条)</w:t>
      </w:r>
    </w:p>
    <w:p>
      <w:pPr>
        <w:pStyle w:val="5"/>
        <w:bidi w:val="0"/>
        <w:ind w:left="801" w:hanging="801"/>
        <w:rPr>
          <w:rFonts w:hint="eastAsia" w:ascii="Arial" w:hAnsi="Arial"/>
          <w:b/>
          <w:lang w:val="en-US" w:eastAsia="zh-CN"/>
        </w:rPr>
      </w:pPr>
      <w:r>
        <w:rPr>
          <w:rFonts w:hint="eastAsia" w:ascii="Arial" w:hAnsi="Arial"/>
          <w:b/>
          <w:lang w:val="en-US" w:eastAsia="zh-CN"/>
        </w:rPr>
        <w:t>五、考试时间</w:t>
      </w:r>
    </w:p>
    <w:p>
      <w:pPr>
        <w:pStyle w:val="2"/>
        <w:bidi w:val="0"/>
        <w:rPr>
          <w:rFonts w:hint="default"/>
          <w:lang w:val="en-US" w:eastAsia="zh-CN"/>
        </w:rPr>
      </w:pPr>
      <w:r>
        <w:rPr>
          <w:rFonts w:hint="default"/>
          <w:lang w:val="en-US" w:eastAsia="zh-CN"/>
        </w:rPr>
        <w:t>考试时间为每年1月、3月、5月、7月、9月、11月第三周周末</w:t>
      </w:r>
    </w:p>
    <w:p>
      <w:pPr>
        <w:pStyle w:val="5"/>
        <w:bidi w:val="0"/>
        <w:ind w:left="801" w:hanging="801"/>
        <w:rPr>
          <w:rFonts w:hint="eastAsia" w:ascii="Arial" w:hAnsi="Arial"/>
          <w:b/>
          <w:lang w:val="en-US" w:eastAsia="zh-CN"/>
        </w:rPr>
      </w:pPr>
      <w:r>
        <w:rPr>
          <w:rFonts w:hint="eastAsia" w:ascii="Arial" w:hAnsi="Arial"/>
          <w:b/>
          <w:lang w:val="en-US" w:eastAsia="zh-CN"/>
        </w:rPr>
        <w:t>六、考试安排</w:t>
      </w:r>
    </w:p>
    <w:p>
      <w:pPr>
        <w:ind w:firstLine="480"/>
        <w:rPr>
          <w:rFonts w:hint="eastAsia"/>
        </w:rPr>
      </w:pPr>
      <w:r>
        <w:rPr>
          <w:rFonts w:hint="eastAsia" w:ascii="仿宋" w:hAnsi="仿宋" w:cs="仿宋"/>
          <w:lang w:eastAsia="zh-CN"/>
        </w:rPr>
        <w:t>碳交易师</w:t>
      </w:r>
      <w:r>
        <w:rPr>
          <w:rFonts w:hint="eastAsia" w:ascii="仿宋" w:hAnsi="仿宋" w:eastAsia="仿宋" w:cs="仿宋"/>
        </w:rPr>
        <w:t>专业技术人员考试采取线上考试形式，线上考试试卷类型为综合试卷类型，由单项选择题、多项选择题和简答</w:t>
      </w:r>
      <w:bookmarkStart w:id="0" w:name="_GoBack"/>
      <w:bookmarkEnd w:id="0"/>
      <w:r>
        <w:rPr>
          <w:rFonts w:hint="eastAsia" w:ascii="仿宋" w:hAnsi="仿宋" w:eastAsia="仿宋" w:cs="仿宋"/>
        </w:rPr>
        <w:t>题组成，线上考试试卷分值为1</w:t>
      </w:r>
      <w:r>
        <w:rPr>
          <w:rFonts w:hint="eastAsia" w:ascii="仿宋" w:hAnsi="仿宋" w:eastAsia="仿宋" w:cs="仿宋"/>
          <w:lang w:val="en-US" w:eastAsia="zh-CN"/>
        </w:rPr>
        <w:t>00</w:t>
      </w:r>
      <w:r>
        <w:rPr>
          <w:rFonts w:hint="eastAsia" w:ascii="仿宋" w:hAnsi="仿宋" w:eastAsia="仿宋" w:cs="仿宋"/>
        </w:rPr>
        <w:t>分，</w:t>
      </w:r>
      <w:r>
        <w:rPr>
          <w:rFonts w:hint="eastAsia" w:ascii="仿宋" w:hAnsi="仿宋" w:eastAsia="仿宋" w:cs="仿宋"/>
          <w:lang w:val="en-US" w:eastAsia="zh-CN"/>
        </w:rPr>
        <w:t>60</w:t>
      </w:r>
      <w:r>
        <w:rPr>
          <w:rFonts w:hint="eastAsia" w:ascii="仿宋" w:hAnsi="仿宋" w:eastAsia="仿宋" w:cs="仿宋"/>
        </w:rPr>
        <w:t>分为及格。</w:t>
      </w:r>
    </w:p>
    <w:tbl>
      <w:tblPr>
        <w:tblStyle w:val="8"/>
        <w:tblW w:w="44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6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2" w:type="pct"/>
            <w:vAlign w:val="center"/>
          </w:tcPr>
          <w:p>
            <w:pPr>
              <w:widowControl w:val="0"/>
              <w:spacing w:line="360" w:lineRule="auto"/>
              <w:ind w:firstLine="0" w:firstLineChars="0"/>
              <w:jc w:val="center"/>
              <w:rPr>
                <w:rFonts w:hint="eastAsia" w:ascii="仿宋" w:hAnsi="仿宋" w:eastAsia="仿宋" w:cs="仿宋"/>
                <w:b/>
                <w:bCs/>
                <w:kern w:val="0"/>
                <w:szCs w:val="24"/>
              </w:rPr>
            </w:pPr>
            <w:r>
              <w:rPr>
                <w:rFonts w:hint="eastAsia" w:ascii="仿宋" w:hAnsi="仿宋" w:eastAsia="仿宋" w:cs="仿宋"/>
                <w:b/>
                <w:bCs/>
                <w:kern w:val="0"/>
                <w:szCs w:val="24"/>
              </w:rPr>
              <w:t>级别</w:t>
            </w:r>
          </w:p>
        </w:tc>
        <w:tc>
          <w:tcPr>
            <w:tcW w:w="4037" w:type="pct"/>
            <w:vAlign w:val="center"/>
          </w:tcPr>
          <w:p>
            <w:pPr>
              <w:widowControl w:val="0"/>
              <w:spacing w:line="360" w:lineRule="auto"/>
              <w:ind w:firstLine="0" w:firstLineChars="0"/>
              <w:jc w:val="center"/>
              <w:rPr>
                <w:rFonts w:hint="eastAsia" w:ascii="仿宋" w:hAnsi="仿宋" w:eastAsia="仿宋" w:cs="仿宋"/>
                <w:b/>
                <w:bCs/>
                <w:kern w:val="0"/>
                <w:szCs w:val="24"/>
              </w:rPr>
            </w:pPr>
            <w:r>
              <w:rPr>
                <w:rFonts w:hint="eastAsia" w:ascii="仿宋" w:hAnsi="仿宋" w:eastAsia="仿宋" w:cs="仿宋"/>
                <w:b/>
                <w:bCs/>
                <w:kern w:val="0"/>
                <w:szCs w:val="24"/>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62" w:type="pct"/>
            <w:vAlign w:val="center"/>
          </w:tcPr>
          <w:p>
            <w:pPr>
              <w:widowControl w:val="0"/>
              <w:spacing w:line="360" w:lineRule="auto"/>
              <w:ind w:firstLine="0" w:firstLineChars="0"/>
              <w:jc w:val="center"/>
              <w:rPr>
                <w:rFonts w:hint="eastAsia" w:ascii="仿宋" w:hAnsi="仿宋" w:eastAsia="仿宋" w:cs="仿宋"/>
                <w:b w:val="0"/>
                <w:bCs w:val="0"/>
                <w:kern w:val="0"/>
                <w:szCs w:val="24"/>
              </w:rPr>
            </w:pPr>
            <w:r>
              <w:rPr>
                <w:rFonts w:hint="eastAsia" w:ascii="仿宋" w:hAnsi="仿宋" w:eastAsia="仿宋" w:cs="仿宋"/>
                <w:b w:val="0"/>
                <w:bCs w:val="0"/>
                <w:kern w:val="0"/>
                <w:szCs w:val="24"/>
              </w:rPr>
              <w:t>初级</w:t>
            </w:r>
          </w:p>
        </w:tc>
        <w:tc>
          <w:tcPr>
            <w:tcW w:w="4037" w:type="pct"/>
            <w:vAlign w:val="center"/>
          </w:tcPr>
          <w:p>
            <w:pPr>
              <w:widowControl w:val="0"/>
              <w:spacing w:line="360" w:lineRule="auto"/>
              <w:ind w:firstLine="0" w:firstLineChars="0"/>
              <w:jc w:val="center"/>
              <w:rPr>
                <w:rFonts w:hint="eastAsia" w:ascii="仿宋" w:hAnsi="仿宋" w:eastAsia="仿宋" w:cs="仿宋"/>
                <w:b w:val="0"/>
                <w:bCs w:val="0"/>
                <w:kern w:val="0"/>
                <w:szCs w:val="24"/>
                <w:lang w:eastAsia="zh-CN"/>
              </w:rPr>
            </w:pPr>
            <w:r>
              <w:rPr>
                <w:rFonts w:hint="eastAsia" w:ascii="仿宋" w:hAnsi="仿宋" w:eastAsia="仿宋" w:cs="仿宋"/>
                <w:b w:val="0"/>
                <w:bCs w:val="0"/>
                <w:kern w:val="0"/>
                <w:szCs w:val="24"/>
              </w:rPr>
              <w:t>9:00-11:00</w:t>
            </w:r>
            <w:r>
              <w:rPr>
                <w:rFonts w:hint="eastAsia" w:ascii="仿宋" w:hAnsi="仿宋" w:cs="仿宋"/>
                <w:b w:val="0"/>
                <w:bCs w:val="0"/>
                <w:kern w:val="0"/>
                <w:szCs w:val="24"/>
                <w:lang w:eastAsia="zh-CN"/>
              </w:rPr>
              <w:t>(</w:t>
            </w:r>
            <w:r>
              <w:rPr>
                <w:rFonts w:hint="eastAsia" w:ascii="仿宋" w:hAnsi="仿宋" w:eastAsia="仿宋" w:cs="仿宋"/>
                <w:b w:val="0"/>
                <w:bCs w:val="0"/>
                <w:kern w:val="0"/>
                <w:szCs w:val="24"/>
              </w:rPr>
              <w:t>120分钟</w:t>
            </w:r>
            <w:r>
              <w:rPr>
                <w:rFonts w:hint="eastAsia" w:ascii="仿宋" w:hAnsi="仿宋" w:cs="仿宋"/>
                <w:b w:val="0"/>
                <w:bCs w:val="0"/>
                <w:kern w:val="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pct"/>
            <w:vAlign w:val="center"/>
          </w:tcPr>
          <w:p>
            <w:pPr>
              <w:widowControl w:val="0"/>
              <w:spacing w:line="360" w:lineRule="auto"/>
              <w:ind w:firstLine="0" w:firstLineChars="0"/>
              <w:jc w:val="center"/>
              <w:rPr>
                <w:rFonts w:hint="eastAsia" w:ascii="仿宋" w:hAnsi="仿宋" w:eastAsia="仿宋" w:cs="仿宋"/>
                <w:b w:val="0"/>
                <w:bCs w:val="0"/>
                <w:kern w:val="0"/>
                <w:szCs w:val="24"/>
              </w:rPr>
            </w:pPr>
            <w:r>
              <w:rPr>
                <w:rFonts w:hint="eastAsia" w:ascii="仿宋" w:hAnsi="仿宋" w:eastAsia="仿宋" w:cs="仿宋"/>
                <w:b w:val="0"/>
                <w:bCs w:val="0"/>
                <w:kern w:val="0"/>
                <w:szCs w:val="24"/>
              </w:rPr>
              <w:t>中级</w:t>
            </w:r>
          </w:p>
        </w:tc>
        <w:tc>
          <w:tcPr>
            <w:tcW w:w="4037" w:type="pct"/>
            <w:vAlign w:val="center"/>
          </w:tcPr>
          <w:p>
            <w:pPr>
              <w:widowControl w:val="0"/>
              <w:spacing w:line="360" w:lineRule="auto"/>
              <w:ind w:firstLine="0" w:firstLineChars="0"/>
              <w:jc w:val="center"/>
              <w:rPr>
                <w:rFonts w:hint="eastAsia" w:ascii="仿宋" w:hAnsi="仿宋" w:eastAsia="仿宋" w:cs="仿宋"/>
                <w:b w:val="0"/>
                <w:bCs w:val="0"/>
                <w:kern w:val="0"/>
                <w:szCs w:val="24"/>
                <w:lang w:eastAsia="zh-CN"/>
              </w:rPr>
            </w:pPr>
            <w:r>
              <w:rPr>
                <w:rFonts w:hint="eastAsia" w:ascii="仿宋" w:hAnsi="仿宋" w:eastAsia="仿宋" w:cs="仿宋"/>
                <w:b w:val="0"/>
                <w:bCs w:val="0"/>
                <w:kern w:val="0"/>
                <w:szCs w:val="24"/>
              </w:rPr>
              <w:t>9:00-11:00</w:t>
            </w:r>
            <w:r>
              <w:rPr>
                <w:rFonts w:hint="eastAsia" w:ascii="仿宋" w:hAnsi="仿宋" w:cs="仿宋"/>
                <w:b w:val="0"/>
                <w:bCs w:val="0"/>
                <w:kern w:val="0"/>
                <w:szCs w:val="24"/>
                <w:lang w:eastAsia="zh-CN"/>
              </w:rPr>
              <w:t>(</w:t>
            </w:r>
            <w:r>
              <w:rPr>
                <w:rFonts w:hint="eastAsia" w:ascii="仿宋" w:hAnsi="仿宋" w:eastAsia="仿宋" w:cs="仿宋"/>
                <w:b w:val="0"/>
                <w:bCs w:val="0"/>
                <w:kern w:val="0"/>
                <w:szCs w:val="24"/>
              </w:rPr>
              <w:t>120分钟</w:t>
            </w:r>
            <w:r>
              <w:rPr>
                <w:rFonts w:hint="eastAsia" w:ascii="仿宋" w:hAnsi="仿宋" w:cs="仿宋"/>
                <w:b w:val="0"/>
                <w:bCs w:val="0"/>
                <w:kern w:val="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 w:type="pct"/>
            <w:vAlign w:val="center"/>
          </w:tcPr>
          <w:p>
            <w:pPr>
              <w:widowControl w:val="0"/>
              <w:spacing w:line="360" w:lineRule="auto"/>
              <w:ind w:firstLine="0" w:firstLineChars="0"/>
              <w:jc w:val="center"/>
              <w:rPr>
                <w:rFonts w:hint="eastAsia" w:ascii="仿宋" w:hAnsi="仿宋" w:eastAsia="仿宋" w:cs="仿宋"/>
                <w:b w:val="0"/>
                <w:bCs w:val="0"/>
                <w:kern w:val="0"/>
                <w:szCs w:val="24"/>
              </w:rPr>
            </w:pPr>
            <w:r>
              <w:rPr>
                <w:rFonts w:hint="eastAsia" w:ascii="仿宋" w:hAnsi="仿宋" w:eastAsia="仿宋" w:cs="仿宋"/>
                <w:b w:val="0"/>
                <w:bCs w:val="0"/>
                <w:kern w:val="0"/>
                <w:szCs w:val="24"/>
              </w:rPr>
              <w:t>高级</w:t>
            </w:r>
          </w:p>
        </w:tc>
        <w:tc>
          <w:tcPr>
            <w:tcW w:w="4037" w:type="pct"/>
            <w:vAlign w:val="center"/>
          </w:tcPr>
          <w:p>
            <w:pPr>
              <w:widowControl w:val="0"/>
              <w:spacing w:line="360" w:lineRule="auto"/>
              <w:ind w:firstLine="0" w:firstLineChars="0"/>
              <w:jc w:val="center"/>
              <w:rPr>
                <w:rFonts w:hint="eastAsia" w:ascii="仿宋" w:hAnsi="仿宋" w:eastAsia="仿宋" w:cs="仿宋"/>
                <w:b w:val="0"/>
                <w:bCs w:val="0"/>
                <w:kern w:val="0"/>
                <w:szCs w:val="24"/>
                <w:lang w:eastAsia="zh-CN"/>
              </w:rPr>
            </w:pPr>
            <w:r>
              <w:rPr>
                <w:rFonts w:hint="eastAsia" w:ascii="仿宋" w:hAnsi="仿宋" w:eastAsia="仿宋" w:cs="仿宋"/>
                <w:b w:val="0"/>
                <w:bCs w:val="0"/>
                <w:kern w:val="0"/>
                <w:szCs w:val="24"/>
              </w:rPr>
              <w:t>9:00-11:00</w:t>
            </w:r>
            <w:r>
              <w:rPr>
                <w:rFonts w:hint="eastAsia" w:ascii="仿宋" w:hAnsi="仿宋" w:cs="仿宋"/>
                <w:b w:val="0"/>
                <w:bCs w:val="0"/>
                <w:kern w:val="0"/>
                <w:szCs w:val="24"/>
                <w:lang w:eastAsia="zh-CN"/>
              </w:rPr>
              <w:t>(</w:t>
            </w:r>
            <w:r>
              <w:rPr>
                <w:rFonts w:hint="eastAsia" w:ascii="仿宋" w:hAnsi="仿宋" w:eastAsia="仿宋" w:cs="仿宋"/>
                <w:b w:val="0"/>
                <w:bCs w:val="0"/>
                <w:kern w:val="0"/>
                <w:szCs w:val="24"/>
              </w:rPr>
              <w:t>120分钟</w:t>
            </w:r>
            <w:r>
              <w:rPr>
                <w:rFonts w:hint="eastAsia" w:ascii="仿宋" w:hAnsi="仿宋" w:cs="仿宋"/>
                <w:b w:val="0"/>
                <w:bCs w:val="0"/>
                <w:kern w:val="0"/>
                <w:szCs w:val="24"/>
                <w:lang w:eastAsia="zh-CN"/>
              </w:rPr>
              <w:t>)</w:t>
            </w:r>
          </w:p>
        </w:tc>
      </w:tr>
    </w:tbl>
    <w:p>
      <w:pPr>
        <w:pStyle w:val="5"/>
        <w:bidi w:val="0"/>
        <w:ind w:left="801" w:hanging="801"/>
        <w:rPr>
          <w:rFonts w:hint="eastAsia" w:ascii="Arial" w:hAnsi="Arial"/>
          <w:b/>
          <w:lang w:val="en-US" w:eastAsia="zh-CN"/>
        </w:rPr>
      </w:pPr>
      <w:r>
        <w:rPr>
          <w:rFonts w:hint="eastAsia" w:ascii="Arial" w:hAnsi="Arial"/>
          <w:b/>
          <w:lang w:val="en-US" w:eastAsia="zh-CN"/>
        </w:rPr>
        <w:t>七、报名资料</w:t>
      </w:r>
    </w:p>
    <w:p>
      <w:pPr>
        <w:pStyle w:val="2"/>
        <w:bidi w:val="0"/>
        <w:rPr>
          <w:rFonts w:hint="eastAsia"/>
          <w:lang w:eastAsia="zh-CN"/>
        </w:rPr>
      </w:pPr>
      <w:r>
        <w:rPr>
          <w:rFonts w:hint="eastAsia"/>
        </w:rPr>
        <w:t>报名材料：</w:t>
      </w:r>
      <w:r>
        <w:rPr>
          <w:rFonts w:hint="eastAsia"/>
          <w:lang w:eastAsia="zh-CN"/>
        </w:rPr>
        <w:t>碳交易师</w:t>
      </w:r>
      <w:r>
        <w:rPr>
          <w:rFonts w:hint="eastAsia"/>
        </w:rPr>
        <w:t>报名审核表、身份证正反面照片、学历证复印件、二寸免冠蓝底彩色电子版照片、工作证明及其他可满足报名条件的相关证明材</w:t>
      </w:r>
      <w:r>
        <w:rPr>
          <w:rFonts w:hint="eastAsia"/>
          <w:lang w:eastAsia="zh-CN"/>
        </w:rPr>
        <w:t>。</w:t>
      </w:r>
    </w:p>
    <w:p>
      <w:pPr>
        <w:pStyle w:val="5"/>
        <w:numPr>
          <w:ilvl w:val="0"/>
          <w:numId w:val="1"/>
        </w:numPr>
        <w:bidi w:val="0"/>
        <w:ind w:left="801" w:hanging="801"/>
        <w:rPr>
          <w:rFonts w:hint="default"/>
          <w:lang w:val="en-US" w:eastAsia="zh-CN"/>
        </w:rPr>
      </w:pPr>
      <w:r>
        <w:rPr>
          <w:rFonts w:hint="eastAsia" w:ascii="Arial" w:hAnsi="Arial"/>
          <w:b/>
          <w:lang w:val="en-US" w:eastAsia="zh-CN"/>
        </w:rPr>
        <w:t>主办和承办单位</w:t>
      </w:r>
    </w:p>
    <w:p>
      <w:pPr>
        <w:pStyle w:val="3"/>
        <w:bidi w:val="0"/>
        <w:rPr>
          <w:rFonts w:hint="eastAsia"/>
          <w:lang w:val="en-US" w:eastAsia="zh-CN"/>
        </w:rPr>
      </w:pPr>
      <w:r>
        <w:rPr>
          <w:rFonts w:hint="eastAsia"/>
          <w:lang w:val="en-US" w:eastAsia="zh-CN"/>
        </w:rPr>
        <w:t>主办单位：中国节能协会</w:t>
      </w:r>
    </w:p>
    <w:p>
      <w:pPr>
        <w:pStyle w:val="3"/>
        <w:bidi w:val="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承办单位：</w:t>
      </w:r>
      <w:r>
        <w:rPr>
          <w:rFonts w:hint="eastAsia"/>
        </w:rPr>
        <w:t>中企工培</w:t>
      </w:r>
      <w:r>
        <w:rPr>
          <w:rFonts w:hint="eastAsia"/>
          <w:lang w:eastAsia="zh-CN"/>
        </w:rPr>
        <w:t>(</w:t>
      </w:r>
      <w:r>
        <w:rPr>
          <w:rFonts w:hint="eastAsia"/>
        </w:rPr>
        <w:t>北京</w:t>
      </w:r>
      <w:r>
        <w:rPr>
          <w:rFonts w:hint="eastAsia"/>
          <w:lang w:eastAsia="zh-CN"/>
        </w:rPr>
        <w:t>)</w:t>
      </w:r>
      <w:r>
        <w:rPr>
          <w:rFonts w:hint="eastAsia"/>
        </w:rPr>
        <w:t>教育咨询有限责任公司</w:t>
      </w:r>
    </w:p>
    <w:p>
      <w:pPr>
        <w:pStyle w:val="5"/>
        <w:bidi w:val="0"/>
        <w:rPr>
          <w:rFonts w:hint="eastAsia"/>
          <w:sz w:val="24"/>
          <w:szCs w:val="24"/>
          <w:lang w:val="en-US" w:eastAsia="zh-CN"/>
        </w:rPr>
      </w:pPr>
      <w:r>
        <w:rPr>
          <w:rFonts w:hint="eastAsia"/>
          <w:sz w:val="24"/>
          <w:szCs w:val="24"/>
          <w:lang w:val="en-US" w:eastAsia="zh-CN"/>
        </w:rPr>
        <w:t>附件：证书样本</w:t>
      </w:r>
    </w:p>
    <w:p>
      <w:pPr>
        <w:pStyle w:val="2"/>
        <w:numPr>
          <w:ilvl w:val="0"/>
          <w:numId w:val="0"/>
        </w:numPr>
        <w:ind w:leftChars="200"/>
        <w:jc w:val="both"/>
        <w:rPr>
          <w:rFonts w:hint="eastAsia" w:hAnsi="仿宋" w:cs="仿宋"/>
          <w:b/>
          <w:bCs/>
          <w:lang w:val="en-US" w:eastAsia="zh-CN"/>
        </w:rPr>
      </w:pPr>
      <w:r>
        <w:rPr>
          <w:rFonts w:hint="eastAsia" w:hAnsi="仿宋" w:cs="仿宋"/>
          <w:b/>
          <w:bCs/>
          <w:lang w:val="en-US" w:eastAsia="zh-CN"/>
        </w:rPr>
        <w:drawing>
          <wp:inline distT="0" distB="0" distL="114300" distR="114300">
            <wp:extent cx="4527550" cy="3247390"/>
            <wp:effectExtent l="0" t="0" r="6350" b="3810"/>
            <wp:docPr id="3" name="图片 3" descr="C:/Users/86153/AppData/Local/Temp/picturecompress_20211109105934/output_2.jpgoutpu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53/AppData/Local/Temp/picturecompress_20211109105934/output_2.jpgoutput_2"/>
                    <pic:cNvPicPr>
                      <a:picLocks noChangeAspect="1"/>
                    </pic:cNvPicPr>
                  </pic:nvPicPr>
                  <pic:blipFill>
                    <a:blip r:embed="rId4"/>
                    <a:stretch>
                      <a:fillRect/>
                    </a:stretch>
                  </pic:blipFill>
                  <pic:spPr>
                    <a:xfrm>
                      <a:off x="0" y="0"/>
                      <a:ext cx="4527550" cy="3247390"/>
                    </a:xfrm>
                    <a:prstGeom prst="rect">
                      <a:avLst/>
                    </a:prstGeom>
                  </pic:spPr>
                </pic:pic>
              </a:graphicData>
            </a:graphic>
          </wp:inline>
        </w:drawing>
      </w:r>
      <w:r>
        <w:rPr>
          <w:rFonts w:hint="eastAsia" w:hAnsi="仿宋" w:cs="仿宋"/>
          <w:b/>
          <w:bCs/>
          <w:lang w:val="en-US" w:eastAsia="zh-CN"/>
        </w:rPr>
        <w:drawing>
          <wp:inline distT="0" distB="0" distL="114300" distR="114300">
            <wp:extent cx="4548505" cy="3263900"/>
            <wp:effectExtent l="0" t="0" r="10795" b="0"/>
            <wp:docPr id="2" name="图片 2" descr="C:/Users/86153/AppData/Local/Temp/picturecompress_2021110910593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53/AppData/Local/Temp/picturecompress_20211109105934/output_1.jpgoutput_1"/>
                    <pic:cNvPicPr>
                      <a:picLocks noChangeAspect="1"/>
                    </pic:cNvPicPr>
                  </pic:nvPicPr>
                  <pic:blipFill>
                    <a:blip r:embed="rId5"/>
                    <a:stretch>
                      <a:fillRect/>
                    </a:stretch>
                  </pic:blipFill>
                  <pic:spPr>
                    <a:xfrm>
                      <a:off x="0" y="0"/>
                      <a:ext cx="4548505" cy="3263900"/>
                    </a:xfrm>
                    <a:prstGeom prst="rect">
                      <a:avLst/>
                    </a:prstGeom>
                  </pic:spPr>
                </pic:pic>
              </a:graphicData>
            </a:graphic>
          </wp:inline>
        </w:drawing>
      </w:r>
      <w:r>
        <w:rPr>
          <w:rFonts w:hint="eastAsia" w:hAnsi="仿宋" w:cs="仿宋"/>
          <w:b/>
          <w:bCs/>
          <w:lang w:val="en-US" w:eastAsia="zh-CN"/>
        </w:rPr>
        <w:drawing>
          <wp:inline distT="0" distB="0" distL="114300" distR="114300">
            <wp:extent cx="4652645" cy="3338195"/>
            <wp:effectExtent l="0" t="0" r="8255" b="1905"/>
            <wp:docPr id="1" name="图片 1" descr="C:\Users\86153\Desktop\碳排放项目合作包\证书样本\碳交易师\内页2.jpg内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86153\Desktop\碳排放项目合作包\证书样本\碳交易师\内页2.jpg内页2"/>
                    <pic:cNvPicPr>
                      <a:picLocks noChangeAspect="1"/>
                    </pic:cNvPicPr>
                  </pic:nvPicPr>
                  <pic:blipFill>
                    <a:blip r:embed="rId6"/>
                    <a:srcRect/>
                    <a:stretch>
                      <a:fillRect/>
                    </a:stretch>
                  </pic:blipFill>
                  <pic:spPr>
                    <a:xfrm>
                      <a:off x="0" y="0"/>
                      <a:ext cx="4652645" cy="3338195"/>
                    </a:xfrm>
                    <a:prstGeom prst="rect">
                      <a:avLst/>
                    </a:prstGeom>
                  </pic:spPr>
                </pic:pic>
              </a:graphicData>
            </a:graphic>
          </wp:inline>
        </w:drawing>
      </w:r>
      <w:r>
        <w:rPr>
          <w:rFonts w:hint="eastAsia" w:hAnsi="仿宋" w:cs="仿宋"/>
          <w:b/>
          <w:bCs/>
          <w:lang w:val="en-US" w:eastAsia="zh-CN"/>
        </w:rPr>
        <w:drawing>
          <wp:inline distT="0" distB="0" distL="114300" distR="114300">
            <wp:extent cx="4643755" cy="3330575"/>
            <wp:effectExtent l="0" t="0" r="4445" b="9525"/>
            <wp:docPr id="4" name="图片 4" descr="内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内页3"/>
                    <pic:cNvPicPr>
                      <a:picLocks noChangeAspect="1"/>
                    </pic:cNvPicPr>
                  </pic:nvPicPr>
                  <pic:blipFill>
                    <a:blip r:embed="rId7"/>
                    <a:stretch>
                      <a:fillRect/>
                    </a:stretch>
                  </pic:blipFill>
                  <pic:spPr>
                    <a:xfrm>
                      <a:off x="0" y="0"/>
                      <a:ext cx="4643755" cy="3330575"/>
                    </a:xfrm>
                    <a:prstGeom prst="rect">
                      <a:avLst/>
                    </a:prstGeom>
                  </pic:spPr>
                </pic:pic>
              </a:graphicData>
            </a:graphic>
          </wp:inline>
        </w:drawing>
      </w:r>
    </w:p>
    <w:p>
      <w:pPr>
        <w:pStyle w:val="2"/>
        <w:numPr>
          <w:ilvl w:val="0"/>
          <w:numId w:val="0"/>
        </w:numPr>
        <w:bidi w:val="0"/>
        <w:jc w:val="center"/>
        <w:rPr>
          <w:rFonts w:hint="eastAsia"/>
        </w:rPr>
      </w:pPr>
    </w:p>
    <w:p>
      <w:pPr>
        <w:pStyle w:val="2"/>
        <w:ind w:left="0" w:leftChars="0" w:firstLine="0" w:firstLineChars="0"/>
        <w:rPr>
          <w:rFonts w:hint="eastAsia"/>
        </w:rPr>
      </w:pPr>
    </w:p>
    <w:p>
      <w:pPr>
        <w:pStyle w:val="2"/>
        <w:bidi w:val="0"/>
        <w:rPr>
          <w:rFonts w:hint="default"/>
          <w:lang w:val="en-US" w:eastAsia="zh-CN"/>
        </w:rPr>
      </w:pPr>
    </w:p>
    <w:p>
      <w:pPr>
        <w:pStyle w:val="2"/>
        <w:bidi w:val="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F7052"/>
    <w:multiLevelType w:val="singleLevel"/>
    <w:tmpl w:val="829F7052"/>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43D1E"/>
    <w:rsid w:val="013E23F0"/>
    <w:rsid w:val="0288005D"/>
    <w:rsid w:val="05AD77DC"/>
    <w:rsid w:val="08CF2DEE"/>
    <w:rsid w:val="0F114F36"/>
    <w:rsid w:val="130848A2"/>
    <w:rsid w:val="17D31922"/>
    <w:rsid w:val="18D45952"/>
    <w:rsid w:val="191D795A"/>
    <w:rsid w:val="1AA475A6"/>
    <w:rsid w:val="1C4F52EF"/>
    <w:rsid w:val="1E34479D"/>
    <w:rsid w:val="206770AC"/>
    <w:rsid w:val="22443D1E"/>
    <w:rsid w:val="2252699D"/>
    <w:rsid w:val="25F34F3E"/>
    <w:rsid w:val="27C070A1"/>
    <w:rsid w:val="29C63095"/>
    <w:rsid w:val="29F20E85"/>
    <w:rsid w:val="2DD92C6B"/>
    <w:rsid w:val="30A12166"/>
    <w:rsid w:val="314D19A6"/>
    <w:rsid w:val="330B38C7"/>
    <w:rsid w:val="35370A29"/>
    <w:rsid w:val="388F60EA"/>
    <w:rsid w:val="3ADD52D8"/>
    <w:rsid w:val="3CB46D7D"/>
    <w:rsid w:val="418717D2"/>
    <w:rsid w:val="48662C4C"/>
    <w:rsid w:val="4A49144C"/>
    <w:rsid w:val="4A6C513B"/>
    <w:rsid w:val="4D185106"/>
    <w:rsid w:val="54BF480F"/>
    <w:rsid w:val="58C610D9"/>
    <w:rsid w:val="60CE7B5E"/>
    <w:rsid w:val="65240694"/>
    <w:rsid w:val="65A26C42"/>
    <w:rsid w:val="688A2F04"/>
    <w:rsid w:val="69E6422B"/>
    <w:rsid w:val="6E7F2DDF"/>
    <w:rsid w:val="701F03D6"/>
    <w:rsid w:val="71870AE7"/>
    <w:rsid w:val="727F515C"/>
    <w:rsid w:val="76162F51"/>
    <w:rsid w:val="78300CA6"/>
    <w:rsid w:val="797A042B"/>
    <w:rsid w:val="7D46528A"/>
    <w:rsid w:val="7D5D7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360" w:lineRule="auto"/>
      <w:ind w:firstLine="801" w:firstLineChars="200"/>
      <w:jc w:val="left"/>
      <w:textAlignment w:val="baseline"/>
    </w:pPr>
    <w:rPr>
      <w:rFonts w:ascii="Arial" w:hAnsi="Arial" w:eastAsia="仿宋" w:cs="Arial"/>
      <w:snapToGrid w:val="0"/>
      <w:color w:val="000000"/>
      <w:kern w:val="0"/>
      <w:sz w:val="24"/>
      <w:szCs w:val="21"/>
    </w:rPr>
  </w:style>
  <w:style w:type="paragraph" w:styleId="4">
    <w:name w:val="heading 1"/>
    <w:basedOn w:val="1"/>
    <w:next w:val="1"/>
    <w:qFormat/>
    <w:uiPriority w:val="9"/>
    <w:pPr>
      <w:keepNext/>
      <w:keepLines/>
      <w:spacing w:before="340" w:after="330"/>
      <w:ind w:firstLine="0" w:firstLineChars="0"/>
      <w:outlineLvl w:val="0"/>
    </w:pPr>
    <w:rPr>
      <w:b/>
      <w:bCs/>
      <w:kern w:val="44"/>
      <w:sz w:val="40"/>
      <w:szCs w:val="44"/>
    </w:rPr>
  </w:style>
  <w:style w:type="paragraph" w:styleId="5">
    <w:name w:val="heading 2"/>
    <w:basedOn w:val="1"/>
    <w:next w:val="1"/>
    <w:link w:val="10"/>
    <w:unhideWhenUsed/>
    <w:qFormat/>
    <w:uiPriority w:val="0"/>
    <w:pPr>
      <w:keepNext/>
      <w:keepLines/>
      <w:spacing w:before="260" w:beforeLines="0" w:beforeAutospacing="0" w:after="260" w:afterLines="0" w:afterAutospacing="0" w:line="413" w:lineRule="auto"/>
      <w:ind w:left="801" w:hanging="801" w:hangingChars="200"/>
      <w:outlineLvl w:val="1"/>
    </w:pPr>
    <w:rPr>
      <w:rFonts w:ascii="Arial" w:hAnsi="Arial" w:eastAsia="仿宋"/>
      <w:b/>
      <w:sz w:val="28"/>
    </w:rPr>
  </w:style>
  <w:style w:type="paragraph" w:styleId="6">
    <w:name w:val="heading 3"/>
    <w:basedOn w:val="1"/>
    <w:next w:val="1"/>
    <w:unhideWhenUsed/>
    <w:qFormat/>
    <w:uiPriority w:val="9"/>
    <w:pPr>
      <w:keepNext/>
      <w:keepLines/>
      <w:spacing w:before="260" w:after="260"/>
      <w:ind w:left="200" w:hanging="200" w:hangingChars="200"/>
      <w:outlineLvl w:val="2"/>
    </w:pPr>
    <w:rPr>
      <w:b/>
      <w:bCs/>
      <w:sz w:val="28"/>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1440"/>
      </w:tabs>
      <w:ind w:firstLine="420"/>
    </w:pPr>
  </w:style>
  <w:style w:type="paragraph" w:styleId="3">
    <w:name w:val="Body Text Indent"/>
    <w:basedOn w:val="1"/>
    <w:qFormat/>
    <w:uiPriority w:val="0"/>
    <w:pPr>
      <w:tabs>
        <w:tab w:val="left" w:pos="-1440"/>
      </w:tabs>
      <w:spacing w:line="360" w:lineRule="auto"/>
      <w:ind w:left="176" w:firstLine="200" w:firstLineChars="200"/>
    </w:pPr>
    <w:rPr>
      <w:rFonts w:ascii="仿宋" w:hAnsi="Times New Roman" w:eastAsia="仿宋"/>
      <w:sz w:val="24"/>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5"/>
    <w:qFormat/>
    <w:uiPriority w:val="0"/>
    <w:rPr>
      <w:rFonts w:ascii="Arial" w:hAnsi="Arial" w:eastAsia="仿宋"/>
      <w:b/>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2021-11-09T02:27:00Z</dcterms:created>
  <dc:creator>Duia~大飞老师</dc:creator>
  <cp:lastModifiedBy>连营</cp:lastModifiedBy>
  <dcterms:modified xsi:type="dcterms:W3CDTF">2021-11-10T06:23:32Z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6E5702707459434BA7069B2997E9DF88</vt:lpwstr>
  </property>
</Properties>
</file>